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88" w:before="0" w:after="0"/>
        <w:jc w:val="center"/>
        <w:rPr>
          <w:rFonts w:ascii="Rubik" w:hAnsi="Rubik"/>
        </w:rPr>
      </w:pPr>
      <w:r>
        <w:rPr>
          <w:rFonts w:cs="Arial" w:ascii="Rubik" w:hAnsi="Rubik"/>
          <w:b/>
          <w:color w:val="000000"/>
          <w:sz w:val="28"/>
          <w:szCs w:val="28"/>
        </w:rPr>
        <w:t>COMUNICATO STAMPA</w:t>
      </w:r>
    </w:p>
    <w:p>
      <w:pPr>
        <w:pStyle w:val="Corpodeltesto"/>
        <w:spacing w:lineRule="auto" w:line="240"/>
        <w:jc w:val="center"/>
        <w:rPr>
          <w:rFonts w:ascii="Rubik" w:hAnsi="Rubik"/>
        </w:rPr>
      </w:pPr>
      <w:r>
        <w:rPr>
          <w:rFonts w:cs="Arial" w:ascii="Rubik" w:hAnsi="Rubik"/>
          <w:b/>
          <w:color w:val="000000"/>
          <w:sz w:val="28"/>
          <w:szCs w:val="28"/>
        </w:rPr>
        <w:t>World Cleanup Day: la campagna "A Buon Rendere" svela i 10 marchi responsabili del 67% dei rifiuti di bevande e chiede una soluzione strutturale</w:t>
      </w:r>
    </w:p>
    <w:p>
      <w:pPr>
        <w:pStyle w:val="Corpodeltesto"/>
        <w:spacing w:lineRule="auto" w:line="240"/>
        <w:jc w:val="center"/>
        <w:rPr>
          <w:rFonts w:ascii="Rubik" w:hAnsi="Rubik"/>
        </w:rPr>
      </w:pPr>
      <w:r>
        <w:rPr>
          <w:rFonts w:cs="Arial" w:ascii="Rubik" w:hAnsi="Rubik"/>
          <w:bCs/>
          <w:i/>
          <w:iCs/>
          <w:color w:val="000000"/>
          <w:sz w:val="20"/>
          <w:szCs w:val="20"/>
        </w:rPr>
        <w:t xml:space="preserve">L'indagine annuale di brand audit della campagna “A Buon Rendere” svela una correlazione tra i grandi marchi che dominano gli scaffali e l'inquinamento da contenitori per bevande. Questo dato rafforza un principio fondamentale: a una maggiore quota di mercato deve corrispondere una maggiore responsabilità nel sostenere soluzioni concrete per risolvere il problema. Un appello congiunto in tal senso arriva da "A Buon Rendere" e Acqua Sant'Anna che ha aderito alla campagna sostenendo da tempo la soluzione: l'adozione di un sistema di deposito cauzionale. 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i/>
          <w:color w:val="000000"/>
          <w:sz w:val="20"/>
          <w:szCs w:val="20"/>
        </w:rPr>
        <w:t>Roma, 17 settembre 2025</w:t>
      </w:r>
      <w:r>
        <w:rPr>
          <w:rFonts w:cs="Arial" w:ascii="Rubik" w:hAnsi="Rubik"/>
          <w:color w:val="000000"/>
          <w:sz w:val="20"/>
          <w:szCs w:val="20"/>
        </w:rPr>
        <w:t xml:space="preserve"> - In occasione del </w:t>
      </w:r>
      <w:r>
        <w:rPr>
          <w:rFonts w:cs="Arial" w:ascii="Rubik" w:hAnsi="Rubik"/>
          <w:b/>
          <w:bCs/>
          <w:color w:val="000000"/>
          <w:sz w:val="20"/>
          <w:szCs w:val="20"/>
        </w:rPr>
        <w:t>World Cleanup Day</w:t>
      </w:r>
      <w:r>
        <w:rPr>
          <w:rFonts w:cs="Arial" w:ascii="Rubik" w:hAnsi="Rubik"/>
          <w:color w:val="000000"/>
          <w:sz w:val="20"/>
          <w:szCs w:val="20"/>
        </w:rPr>
        <w:t xml:space="preserve"> del 20 settembre, giornata globale dedicata alla pulizia del pianeta, e ufficialmente riconosciuta nel calendario delle </w:t>
      </w:r>
      <w:r>
        <w:rPr>
          <w:rFonts w:cs="Arial" w:ascii="Rubik" w:hAnsi="Rubik"/>
          <w:b/>
          <w:bCs/>
          <w:color w:val="000000"/>
          <w:sz w:val="20"/>
          <w:szCs w:val="20"/>
        </w:rPr>
        <w:t>Nazioni Unite</w:t>
      </w:r>
      <w:r>
        <w:rPr>
          <w:rFonts w:cs="Arial" w:ascii="Rubik" w:hAnsi="Rubik"/>
          <w:color w:val="000000"/>
          <w:sz w:val="20"/>
          <w:szCs w:val="20"/>
        </w:rPr>
        <w:t xml:space="preserve">, milioni di cittadini in oltre 211 Paesi si mobilitano contro la </w:t>
      </w:r>
      <w:r>
        <w:rPr>
          <w:rFonts w:cs="Arial" w:ascii="Rubik" w:hAnsi="Rubik"/>
          <w:b/>
          <w:bCs/>
          <w:color w:val="000000"/>
          <w:sz w:val="20"/>
          <w:szCs w:val="20"/>
        </w:rPr>
        <w:t>crisi dei rifiuti</w:t>
      </w:r>
      <w:r>
        <w:rPr>
          <w:rFonts w:cs="Arial" w:ascii="Rubik" w:hAnsi="Rubik"/>
          <w:color w:val="000000"/>
          <w:sz w:val="20"/>
          <w:szCs w:val="20"/>
        </w:rPr>
        <w:t xml:space="preserve">. Anche in Italia, in concomitanza con l'annuale appuntamento di "Puliamo il Mondo" di Legambiente (19-21 settembre), migliaia di volontari si impegneranno a liberare strade, parchi e spiagge dai rifiuti. 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color w:val="000000"/>
          <w:sz w:val="20"/>
          <w:szCs w:val="20"/>
        </w:rPr>
        <w:t>Pur riconoscendo il valore fondamentale dell'impegno civico e i benefici per l’ambiente, la campagna "</w:t>
      </w:r>
      <w:r>
        <w:rPr>
          <w:rFonts w:cs="Arial" w:ascii="Rubik" w:hAnsi="Rubik"/>
          <w:b/>
          <w:bCs/>
          <w:color w:val="000000"/>
          <w:sz w:val="20"/>
          <w:szCs w:val="20"/>
        </w:rPr>
        <w:t>A Buon Rendere</w:t>
      </w:r>
      <w:r>
        <w:rPr>
          <w:rFonts w:cs="Arial" w:ascii="Rubik" w:hAnsi="Rubik"/>
          <w:color w:val="000000"/>
          <w:sz w:val="20"/>
          <w:szCs w:val="20"/>
        </w:rPr>
        <w:t xml:space="preserve">" pone una domanda cruciale: ripulire l’ambiente dai contenitori per bevande presenti massicciamente nel littering (i rifiuti dispersi nell’ambiente) è davvero sufficiente? La risposta, supportata dai dati di </w:t>
      </w:r>
      <w:r>
        <w:rPr>
          <w:rFonts w:cs="Arial" w:ascii="Rubik" w:hAnsi="Rubik"/>
          <w:b/>
          <w:bCs/>
          <w:color w:val="000000"/>
          <w:sz w:val="20"/>
          <w:szCs w:val="20"/>
        </w:rPr>
        <w:t>un'indagine annuale di “Brand Audit”</w:t>
      </w:r>
      <w:r>
        <w:rPr>
          <w:rFonts w:cs="Arial" w:ascii="Rubik" w:hAnsi="Rubik"/>
          <w:color w:val="000000"/>
          <w:sz w:val="20"/>
          <w:szCs w:val="20"/>
        </w:rPr>
        <w:t xml:space="preserve">, è chiara: per risolvere il problema in modo definitivo, l'azione più efficace è l'adozione di un </w:t>
      </w:r>
      <w:r>
        <w:rPr>
          <w:rFonts w:cs="Arial" w:ascii="Rubik" w:hAnsi="Rubik"/>
          <w:b/>
          <w:bCs/>
          <w:color w:val="000000"/>
          <w:sz w:val="20"/>
          <w:szCs w:val="20"/>
        </w:rPr>
        <w:t>Sistema di Deposito Cauzionale</w:t>
      </w:r>
      <w:r>
        <w:rPr>
          <w:rFonts w:cs="Arial" w:ascii="Rubik" w:hAnsi="Rubik"/>
          <w:color w:val="000000"/>
          <w:sz w:val="20"/>
          <w:szCs w:val="20"/>
        </w:rPr>
        <w:t xml:space="preserve"> (DRS). </w:t>
      </w:r>
    </w:p>
    <w:p>
      <w:pPr>
        <w:pStyle w:val="Corpodeltesto"/>
        <w:spacing w:lineRule="auto" w:line="240"/>
        <w:jc w:val="both"/>
        <w:rPr/>
      </w:pPr>
      <w:r>
        <w:rPr>
          <w:rFonts w:eastAsia="Times New Roman" w:cs="Arial" w:ascii="Rubik" w:hAnsi="Rubik"/>
          <w:color w:val="000000"/>
          <w:kern w:val="0"/>
          <w:sz w:val="20"/>
          <w:szCs w:val="20"/>
          <w:lang w:eastAsia="it-IT" w:bidi="ar-SA"/>
        </w:rPr>
        <w:t xml:space="preserve">Si stima che ogni anno </w:t>
      </w:r>
      <w:r>
        <w:rPr>
          <w:rFonts w:eastAsia="Times New Roman" w:cs="Arial" w:ascii="Rubik" w:hAnsi="Rubik"/>
          <w:b/>
          <w:bCs/>
          <w:color w:val="000000"/>
          <w:kern w:val="0"/>
          <w:sz w:val="20"/>
          <w:szCs w:val="20"/>
          <w:lang w:eastAsia="it-IT" w:bidi="ar-SA"/>
        </w:rPr>
        <w:t>oltre</w:t>
      </w:r>
      <w:r>
        <w:rPr>
          <w:rFonts w:cs="Arial" w:ascii="Rubik" w:hAnsi="Rubik"/>
          <w:sz w:val="20"/>
          <w:szCs w:val="20"/>
        </w:rPr>
        <w:t xml:space="preserve"> </w:t>
      </w:r>
      <w:hyperlink r:id="rId2">
        <w:r>
          <w:rPr>
            <w:rStyle w:val="CollegamentoInternet"/>
            <w:rFonts w:cs="Arial" w:ascii="Rubik" w:hAnsi="Rubik"/>
            <w:b/>
            <w:bCs/>
            <w:sz w:val="20"/>
            <w:szCs w:val="20"/>
          </w:rPr>
          <w:t xml:space="preserve"> 8 miliardi i contenitori che sfuggono ogni anno al riciclo</w:t>
        </w:r>
      </w:hyperlink>
      <w:r>
        <w:rPr>
          <w:rStyle w:val="Enfasiforte"/>
          <w:rFonts w:cs="Arial" w:ascii="Rubik" w:hAnsi="Rubik"/>
          <w:b w:val="false"/>
          <w:bCs w:val="false"/>
          <w:color w:val="000000"/>
          <w:sz w:val="20"/>
          <w:szCs w:val="20"/>
        </w:rPr>
        <w:t xml:space="preserve"> un’enorme perdita per un Paese la cui </w:t>
      </w:r>
      <w:r>
        <w:rPr>
          <w:rStyle w:val="Enfasiforte"/>
          <w:rFonts w:cs="Arial" w:ascii="Rubik" w:hAnsi="Rubik"/>
          <w:color w:val="000000"/>
          <w:sz w:val="20"/>
          <w:szCs w:val="20"/>
        </w:rPr>
        <w:t>dipendenza dall’importazione di materie prime (48%)</w:t>
      </w:r>
      <w:r>
        <w:rPr>
          <w:rStyle w:val="Enfasiforte"/>
          <w:rFonts w:cs="Arial" w:ascii="Rubik" w:hAnsi="Rubik"/>
          <w:b w:val="false"/>
          <w:bCs w:val="false"/>
          <w:color w:val="000000"/>
          <w:sz w:val="20"/>
          <w:szCs w:val="20"/>
        </w:rPr>
        <w:t xml:space="preserve"> è più del doppio della media europea.</w:t>
      </w:r>
    </w:p>
    <w:p>
      <w:pPr>
        <w:pStyle w:val="Normal"/>
        <w:jc w:val="both"/>
        <w:rPr>
          <w:rFonts w:ascii="Rubik" w:hAnsi="Rubik"/>
        </w:rPr>
      </w:pPr>
      <w:r>
        <w:rPr>
          <w:rFonts w:eastAsia="Times New Roman" w:cs="Arial" w:ascii="Rubik" w:hAnsi="Rubik"/>
          <w:kern w:val="0"/>
          <w:sz w:val="20"/>
          <w:szCs w:val="20"/>
          <w:lang w:eastAsia="it-IT" w:bidi="ar-SA"/>
        </w:rPr>
        <w:t xml:space="preserve">Mentre i produttori di bevande hanno spesso attribuito la colpa del littering ai singoli consumatori, i dati parlano chiaro. Nei 17 Paesi dell'UE dove è attivo un sistema cauzionale, l'abbandono dei contenitori per bevande è crollato drasticamente. </w:t>
      </w:r>
    </w:p>
    <w:p>
      <w:pPr>
        <w:pStyle w:val="Normal"/>
        <w:jc w:val="both"/>
        <w:rPr>
          <w:rFonts w:ascii="Rubik" w:hAnsi="Rubik"/>
        </w:rPr>
      </w:pPr>
      <w:r>
        <w:rPr>
          <w:rFonts w:eastAsia="Times New Roman" w:cs="Arial" w:ascii="Rubik" w:hAnsi="Rubik"/>
          <w:kern w:val="0"/>
          <w:sz w:val="20"/>
          <w:szCs w:val="20"/>
          <w:lang w:eastAsia="it-IT" w:bidi="ar-SA"/>
        </w:rPr>
        <w:t xml:space="preserve">Questo sistema, che prevede l’aggiunta di un piccolo deposito al prezzo di vendita, interamente rimborsato alla restituzione del vuoto, garantisce tassi di raccolta che superano il 90%, con picchi del 98% come in Germania.   </w:t>
      </w:r>
    </w:p>
    <w:p>
      <w:pPr>
        <w:pStyle w:val="Corpodeltesto"/>
        <w:spacing w:lineRule="auto" w:line="331" w:before="0" w:after="0"/>
        <w:jc w:val="both"/>
        <w:rPr>
          <w:rFonts w:ascii="Rubik" w:hAnsi="Rubik"/>
        </w:rPr>
      </w:pPr>
      <w:r>
        <w:rPr>
          <w:rFonts w:cs="Arial" w:ascii="Rubik" w:hAnsi="Rubik"/>
          <w:b/>
          <w:color w:val="000000"/>
          <w:sz w:val="20"/>
          <w:szCs w:val="20"/>
        </w:rPr>
        <w:t>L'indagine "ABR Radar": un anno di monitoraggio nel Milanese</w:t>
      </w:r>
    </w:p>
    <w:p>
      <w:pPr>
        <w:pStyle w:val="Corpodeltesto"/>
        <w:spacing w:lineRule="auto" w:line="240"/>
        <w:jc w:val="both"/>
        <w:rPr/>
      </w:pPr>
      <w:bookmarkStart w:id="0" w:name="docs-internal-guid-bd9fd576-7fff-9058-f7"/>
      <w:bookmarkEnd w:id="0"/>
      <w:r>
        <w:rPr>
          <w:rFonts w:cs="Arial" w:ascii="Rubik" w:hAnsi="Rubik"/>
          <w:color w:val="000000"/>
          <w:sz w:val="20"/>
          <w:szCs w:val="20"/>
        </w:rPr>
        <w:t xml:space="preserve">A sottolineare l'urgenza di un sistema di deposito, anche in Italia, è </w:t>
      </w:r>
      <w:hyperlink r:id="rId3">
        <w:r>
          <w:rPr>
            <w:rStyle w:val="CollegamentoInternet"/>
            <w:rFonts w:cs="Arial" w:ascii="Rubik" w:hAnsi="Rubik"/>
            <w:sz w:val="20"/>
            <w:szCs w:val="20"/>
          </w:rPr>
          <w:t>un'indagine di "Brand Audit"</w:t>
        </w:r>
      </w:hyperlink>
      <w:r>
        <w:rPr>
          <w:rFonts w:cs="Arial" w:ascii="Rubik" w:hAnsi="Rubik"/>
          <w:color w:val="000000"/>
          <w:sz w:val="20"/>
          <w:szCs w:val="20"/>
        </w:rPr>
        <w:t xml:space="preserve"> durata un anno, resa possibile dall'incredibile impegno della cittadina volontaria </w:t>
      </w:r>
      <w:r>
        <w:rPr>
          <w:rFonts w:cs="Arial" w:ascii="Rubik" w:hAnsi="Rubik"/>
          <w:b/>
          <w:color w:val="000000"/>
          <w:sz w:val="20"/>
          <w:szCs w:val="20"/>
        </w:rPr>
        <w:t>Helena Boers</w:t>
      </w:r>
      <w:r>
        <w:rPr>
          <w:rFonts w:cs="Arial" w:ascii="Rubik" w:hAnsi="Rubik"/>
          <w:color w:val="000000"/>
          <w:sz w:val="20"/>
          <w:szCs w:val="20"/>
        </w:rPr>
        <w:t xml:space="preserve">. Tra il </w:t>
      </w:r>
      <w:r>
        <w:rPr>
          <w:rFonts w:cs="Arial" w:ascii="Rubik" w:hAnsi="Rubik"/>
          <w:b/>
          <w:color w:val="000000"/>
          <w:sz w:val="20"/>
          <w:szCs w:val="20"/>
        </w:rPr>
        <w:t>1° maggio 2024 e il 31 maggio 2025</w:t>
      </w:r>
      <w:r>
        <w:rPr>
          <w:rFonts w:cs="Arial" w:ascii="Rubik" w:hAnsi="Rubik"/>
          <w:color w:val="000000"/>
          <w:sz w:val="20"/>
          <w:szCs w:val="20"/>
        </w:rPr>
        <w:t xml:space="preserve">, Boers ha raccolto ben </w:t>
      </w:r>
      <w:r>
        <w:rPr>
          <w:rFonts w:cs="Arial" w:ascii="Rubik" w:hAnsi="Rubik"/>
          <w:b/>
          <w:color w:val="000000"/>
          <w:sz w:val="20"/>
          <w:szCs w:val="20"/>
        </w:rPr>
        <w:t>21.617 contenitori per bevande abbandonati</w:t>
      </w:r>
      <w:r>
        <w:rPr>
          <w:rFonts w:cs="Arial" w:ascii="Rubik" w:hAnsi="Rubik"/>
          <w:color w:val="000000"/>
          <w:sz w:val="20"/>
          <w:szCs w:val="20"/>
        </w:rPr>
        <w:t xml:space="preserve"> nei comuni milanesi tra cui Grezzago, Trezzo sull’Adda e Pozzo d’Adda, salvandoli dall'incenerimento o dalla discarica ed evitando l'emissione di </w:t>
      </w:r>
      <w:r>
        <w:rPr>
          <w:rFonts w:cs="Arial" w:ascii="Rubik" w:hAnsi="Rubik"/>
          <w:b/>
          <w:color w:val="000000"/>
          <w:sz w:val="20"/>
          <w:szCs w:val="20"/>
        </w:rPr>
        <w:t>3,02 tonnellate di CO2</w:t>
      </w:r>
      <w:r>
        <w:rPr>
          <w:rFonts w:cs="Arial" w:ascii="Rubik" w:hAnsi="Rubik"/>
          <w:color w:val="000000"/>
          <w:sz w:val="20"/>
          <w:szCs w:val="20"/>
        </w:rPr>
        <w:t>.</w:t>
      </w:r>
    </w:p>
    <w:p>
      <w:pPr>
        <w:pStyle w:val="Corpodeltesto"/>
        <w:jc w:val="both"/>
        <w:rPr>
          <w:rFonts w:ascii="Rubik" w:hAnsi="Rubik"/>
        </w:rPr>
      </w:pPr>
      <w:r>
        <w:rPr/>
        <w:drawing>
          <wp:inline distT="0" distB="0" distL="0" distR="0">
            <wp:extent cx="6124575" cy="19526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bCs/>
          <w:color w:val="000000"/>
          <w:sz w:val="20"/>
          <w:szCs w:val="20"/>
        </w:rPr>
        <w:t>I risultati offrono uno spaccato inedito del fenomeno del littering e delle sue responsabilità: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b/>
          <w:color w:val="000000"/>
          <w:sz w:val="20"/>
          <w:szCs w:val="20"/>
        </w:rPr>
        <w:t>I marchi più presenti nel littering</w:t>
      </w:r>
      <w:r>
        <w:rPr>
          <w:rFonts w:cs="Arial" w:ascii="Rubik" w:hAnsi="Rubik"/>
          <w:color w:val="000000"/>
          <w:sz w:val="20"/>
          <w:szCs w:val="20"/>
        </w:rPr>
        <w:t xml:space="preserve">: Solo 10 marchi costituiscono il </w:t>
      </w:r>
      <w:r>
        <w:rPr>
          <w:rFonts w:cs="Arial" w:ascii="Rubik" w:hAnsi="Rubik"/>
          <w:b/>
          <w:bCs/>
          <w:color w:val="000000"/>
          <w:sz w:val="20"/>
          <w:szCs w:val="20"/>
        </w:rPr>
        <w:t>67</w:t>
      </w:r>
      <w:r>
        <w:rPr>
          <w:rFonts w:cs="Arial" w:ascii="Rubik" w:hAnsi="Rubik"/>
          <w:color w:val="000000"/>
          <w:sz w:val="20"/>
          <w:szCs w:val="20"/>
        </w:rPr>
        <w:t xml:space="preserve">% degli </w:t>
      </w:r>
      <w:r>
        <w:rPr>
          <w:rFonts w:cs="Arial" w:ascii="Rubik" w:hAnsi="Rubik"/>
          <w:b/>
          <w:bCs/>
          <w:color w:val="000000"/>
          <w:sz w:val="20"/>
          <w:szCs w:val="20"/>
        </w:rPr>
        <w:t>11.686</w:t>
      </w:r>
      <w:r>
        <w:rPr>
          <w:rFonts w:cs="Arial" w:ascii="Rubik" w:hAnsi="Rubik"/>
          <w:color w:val="000000"/>
          <w:sz w:val="20"/>
          <w:szCs w:val="20"/>
        </w:rPr>
        <w:t xml:space="preserve"> contenitori riconoscibili. La classifica generale vede ai primi posti </w:t>
      </w:r>
      <w:r>
        <w:rPr>
          <w:rFonts w:cs="Arial" w:ascii="Rubik" w:hAnsi="Rubik"/>
          <w:b/>
          <w:color w:val="000000"/>
          <w:sz w:val="20"/>
          <w:szCs w:val="20"/>
        </w:rPr>
        <w:t>Moretti, Red Bull, Coca-Cola e San Benedetto</w:t>
      </w:r>
      <w:r>
        <w:rPr>
          <w:rFonts w:cs="Arial" w:ascii="Rubik" w:hAnsi="Rubik"/>
          <w:color w:val="000000"/>
          <w:sz w:val="20"/>
          <w:szCs w:val="20"/>
        </w:rPr>
        <w:t xml:space="preserve">. 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b/>
          <w:color w:val="000000"/>
          <w:sz w:val="20"/>
          <w:szCs w:val="20"/>
        </w:rPr>
        <w:t>I gruppi industriali</w:t>
      </w:r>
      <w:r>
        <w:rPr>
          <w:rFonts w:cs="Arial" w:ascii="Rubik" w:hAnsi="Rubik"/>
          <w:color w:val="000000"/>
          <w:sz w:val="20"/>
          <w:szCs w:val="20"/>
        </w:rPr>
        <w:t xml:space="preserve">: La responsabilità si concentra in pochi grandi gruppi. </w:t>
      </w:r>
      <w:r>
        <w:rPr>
          <w:rFonts w:cs="Arial" w:ascii="Rubik" w:hAnsi="Rubik"/>
          <w:b/>
          <w:color w:val="000000"/>
          <w:sz w:val="20"/>
          <w:szCs w:val="20"/>
        </w:rPr>
        <w:t>Heineken</w:t>
      </w:r>
      <w:r>
        <w:rPr>
          <w:rFonts w:cs="Arial" w:ascii="Rubik" w:hAnsi="Rubik"/>
          <w:color w:val="000000"/>
          <w:sz w:val="20"/>
          <w:szCs w:val="20"/>
        </w:rPr>
        <w:t xml:space="preserve"> (proprietario di Moretti e Ichnusa) è al primo posto, seguito da </w:t>
      </w:r>
      <w:r>
        <w:rPr>
          <w:rFonts w:cs="Arial" w:ascii="Rubik" w:hAnsi="Rubik"/>
          <w:b/>
          <w:color w:val="000000"/>
          <w:sz w:val="20"/>
          <w:szCs w:val="20"/>
        </w:rPr>
        <w:t>Coca-Cola, AB InBev e San Benedetto</w:t>
      </w:r>
      <w:r>
        <w:rPr>
          <w:rFonts w:cs="Arial" w:ascii="Rubik" w:hAnsi="Rubik"/>
          <w:color w:val="000000"/>
          <w:sz w:val="20"/>
          <w:szCs w:val="20"/>
        </w:rPr>
        <w:t>.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0152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Rubik" w:hAnsi="Rubik"/>
          <w:b/>
          <w:color w:val="000000"/>
          <w:sz w:val="20"/>
          <w:szCs w:val="20"/>
        </w:rPr>
        <w:t>M</w:t>
      </w:r>
      <w:r>
        <w:rPr>
          <w:rFonts w:cs="Arial" w:ascii="Rubik" w:hAnsi="Rubik"/>
          <w:b/>
          <w:color w:val="000000"/>
          <w:sz w:val="20"/>
          <w:szCs w:val="20"/>
        </w:rPr>
        <w:t>ateriali e settori</w:t>
      </w:r>
      <w:r>
        <w:rPr>
          <w:rFonts w:cs="Arial" w:ascii="Rubik" w:hAnsi="Rubik"/>
          <w:color w:val="000000"/>
          <w:sz w:val="20"/>
          <w:szCs w:val="20"/>
        </w:rPr>
        <w:t>: La plastica è il materiale più presente (</w:t>
      </w:r>
      <w:r>
        <w:rPr>
          <w:rFonts w:cs="Arial" w:ascii="Rubik" w:hAnsi="Rubik"/>
          <w:b/>
          <w:bCs/>
          <w:color w:val="000000"/>
          <w:sz w:val="20"/>
          <w:szCs w:val="20"/>
        </w:rPr>
        <w:t>42,2%</w:t>
      </w:r>
      <w:r>
        <w:rPr>
          <w:rFonts w:cs="Arial" w:ascii="Rubik" w:hAnsi="Rubik"/>
          <w:color w:val="000000"/>
          <w:sz w:val="20"/>
          <w:szCs w:val="20"/>
        </w:rPr>
        <w:t>), seguita da alluminio (</w:t>
      </w:r>
      <w:r>
        <w:rPr>
          <w:rFonts w:cs="Arial" w:ascii="Rubik" w:hAnsi="Rubik"/>
          <w:b/>
          <w:bCs/>
          <w:color w:val="000000"/>
          <w:sz w:val="20"/>
          <w:szCs w:val="20"/>
        </w:rPr>
        <w:t>28,3%</w:t>
      </w:r>
      <w:r>
        <w:rPr>
          <w:rFonts w:cs="Arial" w:ascii="Rubik" w:hAnsi="Rubik"/>
          <w:color w:val="000000"/>
          <w:sz w:val="20"/>
          <w:szCs w:val="20"/>
        </w:rPr>
        <w:t>) e vetro (</w:t>
      </w:r>
      <w:r>
        <w:rPr>
          <w:rFonts w:cs="Arial" w:ascii="Rubik" w:hAnsi="Rubik"/>
          <w:b/>
          <w:bCs/>
          <w:color w:val="000000"/>
          <w:sz w:val="20"/>
          <w:szCs w:val="20"/>
        </w:rPr>
        <w:t>25%</w:t>
      </w:r>
      <w:r>
        <w:rPr>
          <w:rFonts w:cs="Arial" w:ascii="Rubik" w:hAnsi="Rubik"/>
          <w:color w:val="000000"/>
          <w:sz w:val="20"/>
          <w:szCs w:val="20"/>
        </w:rPr>
        <w:t xml:space="preserve">). Il settore della </w:t>
      </w:r>
      <w:r>
        <w:rPr>
          <w:rFonts w:cs="Arial" w:ascii="Rubik" w:hAnsi="Rubik"/>
          <w:b/>
          <w:color w:val="000000"/>
          <w:sz w:val="20"/>
          <w:szCs w:val="20"/>
        </w:rPr>
        <w:t>birra</w:t>
      </w:r>
      <w:r>
        <w:rPr>
          <w:rFonts w:cs="Arial" w:ascii="Rubik" w:hAnsi="Rubik"/>
          <w:color w:val="000000"/>
          <w:sz w:val="20"/>
          <w:szCs w:val="20"/>
        </w:rPr>
        <w:t xml:space="preserve"> è il principale responsabile (</w:t>
      </w:r>
      <w:r>
        <w:rPr>
          <w:rFonts w:cs="Arial" w:ascii="Rubik" w:hAnsi="Rubik"/>
          <w:b/>
          <w:bCs/>
          <w:color w:val="000000"/>
          <w:sz w:val="20"/>
          <w:szCs w:val="20"/>
        </w:rPr>
        <w:t>35%</w:t>
      </w:r>
      <w:r>
        <w:rPr>
          <w:rFonts w:cs="Arial" w:ascii="Rubik" w:hAnsi="Rubik"/>
          <w:color w:val="000000"/>
          <w:sz w:val="20"/>
          <w:szCs w:val="20"/>
        </w:rPr>
        <w:t>), superando le acque minerali (</w:t>
      </w:r>
      <w:r>
        <w:rPr>
          <w:rFonts w:cs="Arial" w:ascii="Rubik" w:hAnsi="Rubik"/>
          <w:b/>
          <w:bCs/>
          <w:color w:val="000000"/>
          <w:sz w:val="20"/>
          <w:szCs w:val="20"/>
        </w:rPr>
        <w:t>31%</w:t>
      </w:r>
      <w:r>
        <w:rPr>
          <w:rFonts w:cs="Arial" w:ascii="Rubik" w:hAnsi="Rubik"/>
          <w:color w:val="000000"/>
          <w:sz w:val="20"/>
          <w:szCs w:val="20"/>
        </w:rPr>
        <w:t>) e le bibite analcoliche (</w:t>
      </w:r>
      <w:r>
        <w:rPr>
          <w:rFonts w:cs="Arial" w:ascii="Rubik" w:hAnsi="Rubik"/>
          <w:b/>
          <w:bCs/>
          <w:color w:val="000000"/>
          <w:sz w:val="20"/>
          <w:szCs w:val="20"/>
        </w:rPr>
        <w:t>26%</w:t>
      </w:r>
      <w:r>
        <w:rPr>
          <w:rFonts w:cs="Arial" w:ascii="Rubik" w:hAnsi="Rubik"/>
          <w:color w:val="000000"/>
          <w:sz w:val="20"/>
          <w:szCs w:val="20"/>
        </w:rPr>
        <w:t xml:space="preserve">). Questa prevalenza di contenitori in </w:t>
      </w:r>
      <w:r>
        <w:rPr>
          <w:rFonts w:cs="Arial" w:ascii="Rubik" w:hAnsi="Rubik"/>
          <w:b/>
          <w:bCs/>
          <w:color w:val="000000"/>
          <w:sz w:val="20"/>
          <w:szCs w:val="20"/>
        </w:rPr>
        <w:t xml:space="preserve">vetro monouso </w:t>
      </w:r>
      <w:r>
        <w:rPr>
          <w:rFonts w:cs="Arial" w:ascii="Rubik" w:hAnsi="Rubik"/>
          <w:color w:val="000000"/>
          <w:sz w:val="20"/>
          <w:szCs w:val="20"/>
        </w:rPr>
        <w:t xml:space="preserve">e </w:t>
      </w:r>
      <w:r>
        <w:rPr>
          <w:rFonts w:cs="Arial" w:ascii="Rubik" w:hAnsi="Rubik"/>
          <w:b/>
          <w:bCs/>
          <w:color w:val="000000"/>
          <w:sz w:val="20"/>
          <w:szCs w:val="20"/>
        </w:rPr>
        <w:t xml:space="preserve">metallo </w:t>
      </w:r>
      <w:r>
        <w:rPr>
          <w:rFonts w:cs="Arial" w:ascii="Rubik" w:hAnsi="Rubik"/>
          <w:color w:val="000000"/>
          <w:sz w:val="20"/>
          <w:szCs w:val="20"/>
        </w:rPr>
        <w:t xml:space="preserve">per la birra rappresenta una caratteristica tutta italiana rispetto ai dati internazionali di Brand Audit, dovuta principalmente all’assenza nel nostro Paese dell’opzione del </w:t>
      </w:r>
      <w:r>
        <w:rPr>
          <w:rFonts w:cs="Arial" w:ascii="Rubik" w:hAnsi="Rubik"/>
          <w:b/>
          <w:bCs/>
          <w:color w:val="000000"/>
          <w:sz w:val="20"/>
          <w:szCs w:val="20"/>
        </w:rPr>
        <w:t>vuoto a rendere</w:t>
      </w:r>
      <w:r>
        <w:rPr>
          <w:rFonts w:cs="Arial" w:ascii="Rubik" w:hAnsi="Rubik"/>
          <w:color w:val="000000"/>
          <w:sz w:val="20"/>
          <w:szCs w:val="20"/>
        </w:rPr>
        <w:t xml:space="preserve"> con ricarica presente a scaffale.</w:t>
      </w:r>
    </w:p>
    <w:p>
      <w:pPr>
        <w:pStyle w:val="Corpodeltesto"/>
        <w:spacing w:lineRule="auto" w:line="240"/>
        <w:jc w:val="both"/>
        <w:rPr>
          <w:b/>
          <w:b/>
          <w:bCs/>
        </w:rPr>
      </w:pPr>
      <w:r>
        <w:rPr>
          <w:rFonts w:cs="Arial" w:ascii="Rubik" w:hAnsi="Rubik"/>
          <w:b/>
          <w:bCs/>
          <w:color w:val="000000"/>
          <w:sz w:val="20"/>
          <w:szCs w:val="20"/>
        </w:rPr>
        <w:t xml:space="preserve">L'APPELLO CONGIUNTO DI ACQUA SANT'ANNA E CAMPAGNA "A BUON RENDERE" 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sz w:val="20"/>
          <w:szCs w:val="20"/>
        </w:rPr>
        <w:t xml:space="preserve">In occasione del </w:t>
      </w:r>
      <w:r>
        <w:rPr>
          <w:rFonts w:cs="Arial" w:ascii="Rubik" w:hAnsi="Rubik"/>
          <w:b/>
          <w:bCs/>
          <w:sz w:val="20"/>
          <w:szCs w:val="20"/>
        </w:rPr>
        <w:t>World Cleanup Day</w:t>
      </w:r>
      <w:r>
        <w:rPr>
          <w:rFonts w:cs="Arial" w:ascii="Rubik" w:hAnsi="Rubik"/>
          <w:sz w:val="20"/>
          <w:szCs w:val="20"/>
        </w:rPr>
        <w:t xml:space="preserve">, la Campagna "A Buon Rendere" rinnova il suo appello: l'Italia deve dotarsi subito di un </w:t>
      </w:r>
      <w:r>
        <w:rPr>
          <w:rFonts w:cs="Arial" w:ascii="Rubik" w:hAnsi="Rubik"/>
          <w:b/>
          <w:bCs/>
          <w:sz w:val="20"/>
          <w:szCs w:val="20"/>
        </w:rPr>
        <w:t>Sistema di Deposito Cauzionale</w:t>
      </w:r>
      <w:r>
        <w:rPr>
          <w:rFonts w:cs="Arial" w:ascii="Rubik" w:hAnsi="Rubik"/>
          <w:sz w:val="20"/>
          <w:szCs w:val="20"/>
        </w:rPr>
        <w:t xml:space="preserve"> per trasformare un problema in una risorsa, allineandosi ai Paesi europei più virtuosi.</w:t>
      </w:r>
      <w:r>
        <w:rPr>
          <w:rFonts w:cs="Arial" w:ascii="Rubik" w:hAnsi="Rubik"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“Le evidenze concrete raccolte attraverso i brand audit hanno spinto i produttori di bevande in diversi paesi europei a sostenere i sistemi di deposito cauzionale (DRS). Con l'avvio del sistema in Polonia, a giorni, salgono a </w:t>
      </w:r>
      <w:r>
        <w:rPr>
          <w:rFonts w:cs="Arial" w:ascii="Rubik" w:hAnsi="Rubik"/>
          <w:b/>
          <w:i/>
          <w:color w:val="000000"/>
          <w:sz w:val="20"/>
          <w:szCs w:val="20"/>
        </w:rPr>
        <w:t>18</w:t>
      </w:r>
      <w:r>
        <w:rPr>
          <w:rFonts w:cs="Arial" w:ascii="Rubik" w:hAnsi="Rubik"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i paesi europei che hanno già implementato un deposito cauzionale. Portogallo, Spagna e Regno Unito, sono pronti ad introdurlo entro il 2027” </w:t>
      </w:r>
      <w:r>
        <w:rPr>
          <w:rFonts w:cs="Arial" w:ascii="Rubik" w:hAnsi="Rubik"/>
          <w:iCs/>
          <w:color w:val="000000"/>
          <w:sz w:val="20"/>
          <w:szCs w:val="20"/>
        </w:rPr>
        <w:t>dichiara</w:t>
      </w:r>
      <w:r>
        <w:rPr>
          <w:rFonts w:cs="Arial" w:ascii="Rubik" w:hAnsi="Rubik"/>
          <w:i/>
          <w:color w:val="000000"/>
          <w:sz w:val="20"/>
          <w:szCs w:val="20"/>
        </w:rPr>
        <w:t xml:space="preserve"> </w:t>
      </w:r>
      <w:r>
        <w:rPr>
          <w:rFonts w:cs="Arial" w:ascii="Rubik" w:hAnsi="Rubik"/>
          <w:b/>
          <w:color w:val="000000"/>
          <w:sz w:val="20"/>
          <w:szCs w:val="20"/>
        </w:rPr>
        <w:t xml:space="preserve">Enzo Favoino </w:t>
      </w:r>
      <w:r>
        <w:rPr>
          <w:rFonts w:cs="Arial" w:ascii="Rubik" w:hAnsi="Rubik"/>
          <w:bCs/>
          <w:color w:val="000000"/>
          <w:sz w:val="20"/>
          <w:szCs w:val="20"/>
        </w:rPr>
        <w:t>coordinatore scientifico</w:t>
      </w:r>
      <w:r>
        <w:rPr>
          <w:rFonts w:cs="Arial" w:ascii="Rubik" w:hAnsi="Rubik"/>
          <w:b/>
          <w:color w:val="000000"/>
          <w:sz w:val="20"/>
          <w:szCs w:val="20"/>
        </w:rPr>
        <w:t xml:space="preserve"> </w:t>
      </w:r>
      <w:r>
        <w:rPr>
          <w:rFonts w:cs="Arial" w:ascii="Rubik" w:hAnsi="Rubik"/>
          <w:bCs/>
          <w:color w:val="000000"/>
          <w:sz w:val="20"/>
          <w:szCs w:val="20"/>
        </w:rPr>
        <w:t>campagna</w:t>
      </w:r>
      <w:r>
        <w:rPr>
          <w:rFonts w:cs="Arial" w:ascii="Rubik" w:hAnsi="Rubik"/>
          <w:b/>
          <w:color w:val="000000"/>
          <w:sz w:val="20"/>
          <w:szCs w:val="20"/>
        </w:rPr>
        <w:t xml:space="preserve"> “A Buon Rendere”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“Auspichiamo pertanto una urgente azione congiunta di produttori e decisori politici che affronti concretamente il problema del littering e della decarbonizzazione del settore attraverso l’implementazione di un sistema di deposito cauzionale efficace per promuovere anche in Italia un'economia più circolare e meno dipendente dall’importazione di materie prime” </w:t>
      </w:r>
      <w:r>
        <w:rPr>
          <w:rFonts w:cs="Arial" w:ascii="Rubik" w:hAnsi="Rubik"/>
          <w:iCs/>
          <w:color w:val="000000"/>
          <w:sz w:val="20"/>
          <w:szCs w:val="20"/>
        </w:rPr>
        <w:t>conclude</w:t>
      </w:r>
      <w:r>
        <w:rPr>
          <w:rFonts w:cs="Arial" w:ascii="Rubik" w:hAnsi="Rubik"/>
          <w:b/>
          <w:color w:val="000000"/>
          <w:sz w:val="20"/>
          <w:szCs w:val="20"/>
        </w:rPr>
        <w:t>.</w:t>
      </w:r>
    </w:p>
    <w:p>
      <w:pPr>
        <w:pStyle w:val="Corpodeltesto"/>
        <w:spacing w:lineRule="auto" w:line="240"/>
        <w:jc w:val="both"/>
        <w:rPr>
          <w:rFonts w:ascii="Rubik" w:hAnsi="Rubik"/>
        </w:rPr>
      </w:pPr>
      <w:r>
        <w:rPr>
          <w:rFonts w:cs="Arial" w:ascii="Rubik" w:hAnsi="Rubik"/>
          <w:bCs/>
          <w:iCs/>
          <w:color w:val="000000"/>
          <w:sz w:val="20"/>
          <w:szCs w:val="20"/>
        </w:rPr>
        <w:t>L'immobilismo ha un prezzo.</w:t>
      </w:r>
      <w:r>
        <w:rPr>
          <w:rFonts w:cs="Arial" w:ascii="Rubik" w:hAnsi="Rubik"/>
          <w:b/>
          <w:i/>
          <w:color w:val="000000"/>
          <w:sz w:val="20"/>
          <w:szCs w:val="20"/>
        </w:rPr>
        <w:t xml:space="preserve"> “</w:t>
      </w:r>
      <w:r>
        <w:rPr>
          <w:rFonts w:cs="Arial" w:ascii="Rubik" w:hAnsi="Rubik"/>
          <w:i/>
          <w:color w:val="000000"/>
          <w:sz w:val="20"/>
          <w:szCs w:val="20"/>
        </w:rPr>
        <w:t xml:space="preserve">La Campagna “A Buon Rendere” pubblica periodicamente questi risultati di Brand Audit in modo da sollecitare il Governo e i produttori di bevande a prendersi carico del problema del mancato riciclo di 8 miliardi di contenitori ogni anno, e dei suoi impatti negativi per l'ambiente, l'economia del riciclo, i bilanci comunali, e anche per lo Stato, che </w:t>
      </w:r>
      <w:r>
        <w:rPr>
          <w:rFonts w:cs="Arial" w:ascii="Rubik" w:hAnsi="Rubik"/>
          <w:b/>
          <w:i/>
          <w:color w:val="000000"/>
          <w:sz w:val="20"/>
          <w:szCs w:val="20"/>
        </w:rPr>
        <w:t>ogni anno</w:t>
      </w:r>
      <w:r>
        <w:rPr>
          <w:rFonts w:cs="Arial" w:ascii="Rubik" w:hAnsi="Rubik"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paga all'Unione Europea circa </w:t>
      </w:r>
      <w:r>
        <w:rPr>
          <w:rFonts w:cs="Arial" w:ascii="Rubik" w:hAnsi="Rubik"/>
          <w:b/>
          <w:i/>
          <w:color w:val="000000"/>
          <w:sz w:val="20"/>
          <w:szCs w:val="20"/>
        </w:rPr>
        <w:t xml:space="preserve">100 milioni di euro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come </w:t>
      </w:r>
      <w:r>
        <w:rPr>
          <w:rFonts w:cs="Arial" w:ascii="Rubik" w:hAnsi="Rubik"/>
          <w:b/>
          <w:i/>
          <w:color w:val="000000"/>
          <w:sz w:val="20"/>
          <w:szCs w:val="20"/>
        </w:rPr>
        <w:t>Plastic Tax</w:t>
      </w:r>
      <w:r>
        <w:rPr>
          <w:rFonts w:cs="Arial" w:ascii="Rubik" w:hAnsi="Rubik"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per le </w:t>
      </w:r>
      <w:r>
        <w:rPr>
          <w:rFonts w:cs="Arial" w:ascii="Rubik" w:hAnsi="Rubik"/>
          <w:b/>
          <w:i/>
          <w:color w:val="000000"/>
          <w:sz w:val="20"/>
          <w:szCs w:val="20"/>
        </w:rPr>
        <w:t>sole bottiglie per bevande</w:t>
      </w:r>
      <w:r>
        <w:rPr>
          <w:rFonts w:cs="Arial" w:ascii="Rubik" w:hAnsi="Rubik"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in plastica che non ricicliamo” </w:t>
      </w:r>
      <w:r>
        <w:rPr>
          <w:rFonts w:cs="Arial" w:ascii="Rubik" w:hAnsi="Rubik"/>
          <w:iCs/>
          <w:color w:val="000000"/>
          <w:sz w:val="20"/>
          <w:szCs w:val="20"/>
        </w:rPr>
        <w:t>afferma</w:t>
      </w:r>
      <w:r>
        <w:rPr>
          <w:rFonts w:cs="Arial" w:ascii="Rubik" w:hAnsi="Rubik"/>
          <w:i/>
          <w:color w:val="000000"/>
          <w:sz w:val="20"/>
          <w:szCs w:val="20"/>
        </w:rPr>
        <w:t xml:space="preserve"> </w:t>
      </w:r>
      <w:r>
        <w:rPr>
          <w:rFonts w:cs="Arial" w:ascii="Rubik" w:hAnsi="Rubik"/>
          <w:b/>
          <w:iCs/>
          <w:color w:val="000000"/>
          <w:sz w:val="20"/>
          <w:szCs w:val="20"/>
        </w:rPr>
        <w:t>Silvia Ricci</w:t>
      </w:r>
      <w:r>
        <w:rPr>
          <w:rFonts w:cs="Arial" w:ascii="Rubik" w:hAnsi="Rubik"/>
          <w:b/>
          <w:i/>
          <w:color w:val="000000"/>
          <w:sz w:val="20"/>
          <w:szCs w:val="20"/>
        </w:rPr>
        <w:t xml:space="preserve"> </w:t>
      </w:r>
      <w:r>
        <w:rPr>
          <w:rFonts w:cs="Arial" w:ascii="Rubik" w:hAnsi="Rubik"/>
          <w:bCs/>
          <w:iCs/>
          <w:color w:val="000000"/>
          <w:sz w:val="20"/>
          <w:szCs w:val="20"/>
        </w:rPr>
        <w:t>coordinatrice della</w:t>
      </w:r>
      <w:r>
        <w:rPr>
          <w:rFonts w:cs="Arial" w:ascii="Rubik" w:hAnsi="Rubik"/>
          <w:b/>
          <w:i/>
          <w:color w:val="000000"/>
          <w:sz w:val="20"/>
          <w:szCs w:val="20"/>
        </w:rPr>
        <w:t xml:space="preserve"> </w:t>
      </w:r>
      <w:r>
        <w:rPr>
          <w:rFonts w:cs="Arial" w:ascii="Rubik" w:hAnsi="Rubik"/>
          <w:bCs/>
          <w:iCs/>
          <w:color w:val="000000"/>
          <w:sz w:val="20"/>
          <w:szCs w:val="20"/>
        </w:rPr>
        <w:t>campagna “A Buon Rendere“.</w:t>
      </w:r>
      <w:r>
        <w:rPr>
          <w:rFonts w:cs="Arial" w:ascii="Rubik" w:hAnsi="Rubik"/>
          <w:b/>
          <w:i/>
          <w:color w:val="000000"/>
          <w:sz w:val="20"/>
          <w:szCs w:val="20"/>
        </w:rPr>
        <w:t xml:space="preserve"> </w:t>
      </w:r>
      <w:r>
        <w:rPr>
          <w:rFonts w:cs="Arial" w:ascii="Rubik" w:hAnsi="Rubik"/>
          <w:i/>
          <w:color w:val="000000"/>
          <w:sz w:val="20"/>
          <w:szCs w:val="20"/>
        </w:rPr>
        <w:t xml:space="preserve">“Aspettare il </w:t>
      </w:r>
      <w:r>
        <w:rPr>
          <w:rFonts w:cs="Arial" w:ascii="Rubik" w:hAnsi="Rubik"/>
          <w:b/>
          <w:i/>
          <w:color w:val="000000"/>
          <w:sz w:val="20"/>
          <w:szCs w:val="20"/>
        </w:rPr>
        <w:t>2029</w:t>
      </w:r>
      <w:r>
        <w:rPr>
          <w:rFonts w:cs="Arial" w:ascii="Rubik" w:hAnsi="Rubik"/>
          <w:i/>
          <w:color w:val="000000"/>
          <w:sz w:val="20"/>
          <w:szCs w:val="20"/>
        </w:rPr>
        <w:t>, come si vorrebbe fare in Italia, comporta non solamente un peggioramento dell’inquinamento ambientale ma anche costi evitabili per tutti i portatori di interesse”.</w:t>
      </w:r>
    </w:p>
    <w:p>
      <w:pPr>
        <w:pStyle w:val="Normal"/>
        <w:jc w:val="both"/>
        <w:rPr>
          <w:rFonts w:ascii="Rubik" w:hAnsi="Rubik"/>
        </w:rPr>
      </w:pPr>
      <w:r>
        <w:rPr>
          <w:rFonts w:cs="Arial" w:ascii="Rubik" w:hAnsi="Rubik"/>
          <w:sz w:val="20"/>
          <w:szCs w:val="20"/>
        </w:rPr>
        <w:t>Mentre alcuni grandi player esitano, l'azienda italiana</w:t>
      </w:r>
      <w:r>
        <w:rPr>
          <w:rFonts w:cs="Arial" w:ascii="Rubik" w:hAnsi="Rubik"/>
          <w:b/>
          <w:bCs/>
          <w:sz w:val="20"/>
          <w:szCs w:val="20"/>
        </w:rPr>
        <w:t xml:space="preserve"> Sant’Anna</w:t>
      </w:r>
      <w:r>
        <w:rPr>
          <w:rFonts w:cs="Arial" w:ascii="Rubik" w:hAnsi="Rubik"/>
          <w:sz w:val="20"/>
          <w:szCs w:val="20"/>
        </w:rPr>
        <w:t xml:space="preserve"> sostiene da tempo la necessità di un sistema cauzionale, in perfetta sintonia con la posizione delle associazioni europee del settore UNESDA (bibite analcoliche) e NMWE (acque minerali).“</w:t>
      </w:r>
      <w:r>
        <w:rPr>
          <w:rFonts w:cs="Arial" w:ascii="Rubik" w:hAnsi="Rubik"/>
          <w:i/>
          <w:iCs/>
          <w:sz w:val="20"/>
          <w:szCs w:val="20"/>
        </w:rPr>
        <w:t>Non c’è più tempo da perdere: il sistema di deposito cauzionale rappresenta una svolta indispensabile per ridurre drasticamente l’abbandono dei contenitori per bevande e garantire un riciclo di qualità”</w:t>
      </w:r>
      <w:r>
        <w:rPr>
          <w:rFonts w:cs="Arial" w:ascii="Rubik" w:hAnsi="Rubik"/>
          <w:sz w:val="20"/>
          <w:szCs w:val="20"/>
        </w:rPr>
        <w:t xml:space="preserve"> </w:t>
      </w:r>
      <w:hyperlink r:id="rId6">
        <w:r>
          <w:rPr>
            <w:rStyle w:val="CollegamentoInternet"/>
            <w:rFonts w:cs="Arial" w:ascii="Rubik" w:hAnsi="Rubik"/>
            <w:sz w:val="20"/>
            <w:szCs w:val="20"/>
          </w:rPr>
          <w:t xml:space="preserve">spiega Alberto Bertone, </w:t>
        </w:r>
      </w:hyperlink>
      <w:r>
        <w:rPr>
          <w:rFonts w:cs="Arial" w:ascii="Rubik" w:hAnsi="Rubik"/>
          <w:sz w:val="20"/>
          <w:szCs w:val="20"/>
        </w:rPr>
        <w:t>Presidente e Amministratore Delegato di Acqua Sant’Anna. “</w:t>
      </w:r>
      <w:r>
        <w:rPr>
          <w:rFonts w:cs="Arial" w:ascii="Rubik" w:hAnsi="Rubik"/>
          <w:i/>
          <w:iCs/>
          <w:sz w:val="20"/>
          <w:szCs w:val="20"/>
        </w:rPr>
        <w:t>L’Italia non può permettersi di restare indietro rispetto agli altri Paesi europei. Per raggiungere gli obiettivi ambientali e rispondere alle aspettative dei consumatori serve un approccio sistemico che coinvolga governo, imprese e cittadini. È fondamentale che i produttori di bevande facciano squadra, come già avvenuto in altre</w:t>
      </w:r>
      <w:r>
        <w:rPr>
          <w:rFonts w:cs="Arial" w:ascii="Rubik" w:hAnsi="Rubik"/>
          <w:i/>
          <w:iCs/>
          <w:sz w:val="22"/>
          <w:szCs w:val="22"/>
        </w:rPr>
        <w:t xml:space="preserve"> nazioni: solo un impegno comune potrà accelerare l’introduzione del DRS e trasformare una sfida in un’opportunità di sostenibilità per tutti</w:t>
      </w:r>
      <w:r>
        <w:rPr>
          <w:rFonts w:cs="Arial" w:ascii="Rubik" w:hAnsi="Rubik"/>
          <w:sz w:val="22"/>
          <w:szCs w:val="22"/>
        </w:rPr>
        <w:t xml:space="preserve">”.  </w:t>
      </w:r>
    </w:p>
    <w:p>
      <w:pPr>
        <w:pStyle w:val="Corpodeltesto"/>
        <w:jc w:val="both"/>
        <w:rPr>
          <w:rFonts w:ascii="Rubik" w:hAnsi="Rubik"/>
        </w:rPr>
      </w:pPr>
      <w:r>
        <w:rPr>
          <w:rFonts w:cs="Arial" w:ascii="Rubik" w:hAnsi="Rubik"/>
          <w:b/>
          <w:bCs/>
          <w:sz w:val="20"/>
          <w:szCs w:val="20"/>
        </w:rPr>
        <w:t>La Campagna “A Buon Rendere”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Rubik" w:hAnsi="Rubik"/>
          <w:sz w:val="18"/>
          <w:szCs w:val="18"/>
        </w:rPr>
        <w:t>"</w:t>
      </w:r>
      <w:hyperlink r:id="rId7">
        <w:r>
          <w:rPr>
            <w:rStyle w:val="CollegamentoInternet"/>
            <w:rFonts w:cs="Arial" w:ascii="Rubik" w:hAnsi="Rubik"/>
            <w:sz w:val="18"/>
            <w:szCs w:val="18"/>
          </w:rPr>
          <w:t>A Buon Rendere</w:t>
        </w:r>
      </w:hyperlink>
      <w:r>
        <w:rPr>
          <w:rFonts w:cs="Arial" w:ascii="Rubik" w:hAnsi="Rubik"/>
          <w:sz w:val="18"/>
          <w:szCs w:val="18"/>
        </w:rPr>
        <w:t>" è la campagna nazionale promossa dall'Associazione Comuni Virtuosi e dalle numerose organizzazioni partner per l'introduzione di un Sistema di Deposito Cauzionale (DRS) in Italia. L'obiettivo è intercettare gli 8 miliardi di contenitori per bevande che ogni anno non vengono riciclati, riducendo l'inquinamento e promuovendo un'economia circolare.</w:t>
      </w:r>
    </w:p>
    <w:p>
      <w:pPr>
        <w:pStyle w:val="Corpodeltesto"/>
        <w:spacing w:lineRule="auto" w:line="240" w:before="0" w:after="140"/>
        <w:jc w:val="both"/>
        <w:rPr/>
      </w:pPr>
      <w:r>
        <w:rPr>
          <w:rFonts w:cs="Arial" w:ascii="Rubik" w:hAnsi="Rubik"/>
          <w:sz w:val="18"/>
          <w:szCs w:val="18"/>
        </w:rPr>
        <w:t xml:space="preserve">Per scaricare le infografiche </w:t>
      </w:r>
      <w:hyperlink r:id="rId8">
        <w:r>
          <w:rPr>
            <w:rStyle w:val="CollegamentoInternet"/>
            <w:rFonts w:cs="Arial" w:ascii="Rubik" w:hAnsi="Rubik"/>
            <w:sz w:val="18"/>
            <w:szCs w:val="18"/>
          </w:rPr>
          <w:t xml:space="preserve">cliccare qui </w:t>
        </w:r>
      </w:hyperlink>
      <w:r>
        <w:rPr>
          <w:rFonts w:cs="Arial" w:ascii="Rubik" w:hAnsi="Rubik"/>
          <w:sz w:val="18"/>
          <w:szCs w:val="18"/>
        </w:rPr>
        <w:t xml:space="preserve">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ubi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094bc5"/>
    <w:rPr>
      <w:color w:val="0563C1" w:themeColor="hyperlink"/>
      <w:u w:val="single"/>
    </w:rPr>
  </w:style>
  <w:style w:type="character" w:styleId="Enfasiforte" w:customStyle="1">
    <w:name w:val="Enfasi forte"/>
    <w:qFormat/>
    <w:rPr>
      <w:b/>
      <w:bCs/>
    </w:rPr>
  </w:style>
  <w:style w:type="character" w:styleId="Enfasi" w:customStyle="1">
    <w:name w:val="Enfasi"/>
    <w:basedOn w:val="DefaultParagraphFont"/>
    <w:uiPriority w:val="20"/>
    <w:qFormat/>
    <w:rsid w:val="000e1844"/>
    <w:rPr>
      <w:i/>
      <w:iCs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4bc5"/>
    <w:rPr>
      <w:color w:val="605E5C"/>
      <w:shd w:fill="E1DFDD" w:val="clear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onrendere.it/2025/02/28/quanti-imballaggi-per-bevande-sprechiamo/" TargetMode="External"/><Relationship Id="rId3" Type="http://schemas.openxmlformats.org/officeDocument/2006/relationships/hyperlink" Target="https://buonrendere.it/2025/08/31/unindagine-sui-contenitori-dispersi-richiama-i-grandi-marchi-ad-appoggiare-un-sistema-di-deposito-cauzionale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https://buonrendere.it/2025/09/04/bertone-ceo-di-acqua-santanna-il-drs-punto-di-svolta/" TargetMode="External"/><Relationship Id="rId7" Type="http://schemas.openxmlformats.org/officeDocument/2006/relationships/hyperlink" Target="https://buonrendere.it/" TargetMode="External"/><Relationship Id="rId8" Type="http://schemas.openxmlformats.org/officeDocument/2006/relationships/hyperlink" Target="https://buonrendere.it/wp-content/uploads/2025/09/Cartella-MEDIA-Brand-Audit-1.zip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LibreOffice/7.0.4.2$Windows_X86_64 LibreOffice_project/dcf040e67528d9187c66b2379df5ea4407429775</Application>
  <AppVersion>15.0000</AppVersion>
  <Pages>2</Pages>
  <Words>1073</Words>
  <Characters>6214</Characters>
  <CharactersWithSpaces>7279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2025-09-16T13:19:00Z</dcterms:created>
  <dc:creator>Microsoft Office User</dc:creator>
  <dc:description/>
  <dc:language>it-IT</dc:language>
  <cp:lastModifiedBy/>
  <dcterms:modified xsi:type="dcterms:W3CDTF">2025-09-17T09:42:34Z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